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sz w:val="28"/>
          <w:szCs w:val="28"/>
          <w:u w:val="single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الأسبوعية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12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فبراير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إلى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16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فبراير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2017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اللغــــــــــــــــــــــــــة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العربيـــــــــــــــــــــــــة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3360"/>
        <w:gridCol w:w="1320"/>
        <w:tblGridChange w:id="0">
          <w:tblGrid>
            <w:gridCol w:w="2340"/>
            <w:gridCol w:w="2340"/>
            <w:gridCol w:w="3360"/>
            <w:gridCol w:w="1320"/>
          </w:tblGrid>
        </w:tblGridChange>
      </w:tblGrid>
      <w:tr>
        <w:trPr>
          <w:trHeight w:val="480" w:hRule="atLeast"/>
        </w:trPr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رسائل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لولي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الأمر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واجبات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</w:tr>
      <w:tr>
        <w:trPr>
          <w:trHeight w:val="480" w:hRule="atLeast"/>
        </w:trPr>
        <w:tc>
          <w:tcPr>
            <w:tcBorders>
              <w:top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مذكرة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والثانية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وحفظ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دفتر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الصف</w:t>
            </w:r>
          </w:p>
        </w:tc>
        <w:tc>
          <w:tcPr>
            <w:tcBorders>
              <w:top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القاضي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الصغير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الفقرة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1"/>
              </w:rPr>
              <w:t xml:space="preserve">15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الأحد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باقي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وحفظ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دفتر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الصف</w:t>
            </w:r>
          </w:p>
        </w:tc>
        <w:tc>
          <w:tcPr>
            <w:tcBorders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القاضي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الصغير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الفقرة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1"/>
              </w:rPr>
              <w:t xml:space="preserve">15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16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الاثنين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الثلاثاء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0"/>
              </w:rPr>
              <w:t xml:space="preserve">Ireadarabic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rtl w:val="0"/>
              </w:rPr>
              <w:t xml:space="preserve">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قصص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لمختلف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المستويات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العلاجي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قصة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الأربعاء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مذكرة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العلاجي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قصة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الخميس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u w:val="single"/>
          <w:rtl w:val="1"/>
        </w:rPr>
        <w:t xml:space="preserve">العلوم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الشرعية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3360"/>
        <w:gridCol w:w="1320"/>
        <w:tblGridChange w:id="0">
          <w:tblGrid>
            <w:gridCol w:w="2340"/>
            <w:gridCol w:w="2340"/>
            <w:gridCol w:w="3360"/>
            <w:gridCol w:w="1320"/>
          </w:tblGrid>
        </w:tblGridChange>
      </w:tblGrid>
      <w:tr>
        <w:trPr>
          <w:trHeight w:val="440" w:hRule="atLeast"/>
        </w:trPr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رسائل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لولي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الأمر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واجبات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</w:tr>
      <w:tr>
        <w:trPr>
          <w:trHeight w:val="480" w:hRule="atLeast"/>
        </w:trPr>
        <w:tc>
          <w:tcPr>
            <w:tcBorders>
              <w:top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براوي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اسمه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لقبه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وفاته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  <w:tc>
          <w:tcPr>
            <w:tcBorders>
              <w:top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الكلمات</w:t>
            </w:r>
          </w:p>
        </w:tc>
        <w:tc>
          <w:tcPr>
            <w:tcBorders>
              <w:top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الشريف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إماطة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الأذى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الأحد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تسميع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الحديث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والتدريبات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1"/>
              </w:rPr>
              <w:t xml:space="preserve">13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14 </w:t>
            </w:r>
          </w:p>
        </w:tc>
        <w:tc>
          <w:tcPr>
            <w:tcBorders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تابع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الشريف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إماطة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الأذى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الخميس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u w:val="single"/>
          <w:rtl w:val="1"/>
        </w:rPr>
        <w:t xml:space="preserve">التاريخ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القطري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3360"/>
        <w:gridCol w:w="1320"/>
        <w:tblGridChange w:id="0">
          <w:tblGrid>
            <w:gridCol w:w="2340"/>
            <w:gridCol w:w="2340"/>
            <w:gridCol w:w="3360"/>
            <w:gridCol w:w="1320"/>
          </w:tblGrid>
        </w:tblGridChange>
      </w:tblGrid>
      <w:tr>
        <w:trPr>
          <w:trHeight w:val="480" w:hRule="atLeast"/>
        </w:trPr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رسائل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لولي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الأمر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واجبات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</w:tr>
      <w:tr>
        <w:trPr>
          <w:trHeight w:val="480" w:hRule="atLeast"/>
        </w:trPr>
        <w:tc>
          <w:tcPr>
            <w:tcBorders>
              <w:top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المناسبات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والاحتفالات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قطر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1"/>
              </w:rPr>
              <w:t xml:space="preserve"> 38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الثلاثاء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u w:val="single"/>
          <w:rtl w:val="1"/>
        </w:rPr>
        <w:t xml:space="preserve">الكلمات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البصرية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مستشفى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مفاجأة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مقال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مسؤول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قراءة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شتاء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